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6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ФЕДЕРАЛЬНАЯ СЛУЖБА ПО НАДЗОРУ  В СФЕРЕ ЗАЩИТЫ ПРАВ ПОТРЕБИТЕЛЕЙ И БЛАГОПОЛУЧИЯ ЧЕЛОВЕКА</w:t>
      </w:r>
      <w:r>
        <w:rPr>
          <w:rFonts w:ascii="Times New Roman" w:hAnsi="Times New Roman"/>
          <w:b/>
          <w:color w:val="000000" w:themeColor="text1"/>
        </w:rPr>
      </w:r>
      <w:r>
        <w:rPr>
          <w:rFonts w:ascii="Times New Roman" w:hAnsi="Times New Roman"/>
          <w:b/>
          <w:color w:val="000000" w:themeColor="text1"/>
        </w:rPr>
      </w:r>
    </w:p>
    <w:p>
      <w:pPr>
        <w:pStyle w:val="67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Управление Федеральной службы по надзору в сфере защиты прав потребителей и благополучия человека по Калининградской области 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676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</w:r>
      <w:r>
        <w:rPr>
          <w:rFonts w:ascii="Times New Roman" w:hAnsi="Times New Roman"/>
          <w:color w:val="000000" w:themeColor="text1"/>
        </w:rPr>
      </w:r>
      <w:r>
        <w:rPr>
          <w:rFonts w:ascii="Times New Roman" w:hAnsi="Times New Roman"/>
          <w:color w:val="000000" w:themeColor="text1"/>
        </w:rPr>
      </w:r>
    </w:p>
    <w:p>
      <w:pPr>
        <w:pStyle w:val="67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ПРИКАЗ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676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25.06.2026</w:t>
      </w:r>
      <w:r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           №</w:t>
      </w:r>
      <w:r>
        <w:rPr>
          <w:rFonts w:ascii="Times New Roman" w:hAnsi="Times New Roman"/>
          <w:color w:val="000000" w:themeColor="text1"/>
        </w:rPr>
        <w:t xml:space="preserve"> 120</w:t>
      </w:r>
      <w:r>
        <w:rPr>
          <w:rFonts w:ascii="Times New Roman" w:hAnsi="Times New Roman"/>
          <w:color w:val="000000" w:themeColor="text1"/>
        </w:rPr>
      </w:r>
    </w:p>
    <w:p>
      <w:pPr>
        <w:pStyle w:val="676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Калининград</w:t>
      </w:r>
      <w:r>
        <w:rPr>
          <w:rFonts w:ascii="Times New Roman" w:hAnsi="Times New Roman"/>
          <w:color w:val="000000" w:themeColor="text1"/>
        </w:rPr>
      </w:r>
      <w:r>
        <w:rPr>
          <w:rFonts w:ascii="Times New Roman" w:hAnsi="Times New Roman"/>
          <w:color w:val="000000" w:themeColor="text1"/>
        </w:rPr>
      </w:r>
    </w:p>
    <w:p>
      <w:pPr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ind w:left="-28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</w:p>
    <w:p>
      <w:pPr>
        <w:ind w:left="-28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</w:p>
    <w:p>
      <w:pPr>
        <w:ind w:left="-28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 утверждении Плана противодействия</w:t>
      </w:r>
      <w:r>
        <w:rPr>
          <w:rFonts w:ascii="Times New Roman" w:hAnsi="Times New Roman"/>
          <w:sz w:val="24"/>
          <w:szCs w:val="24"/>
        </w:rPr>
      </w:r>
    </w:p>
    <w:p>
      <w:pPr>
        <w:ind w:left="-28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коррупции в Управлении  Роспотребнадзора</w:t>
      </w:r>
      <w:r>
        <w:rPr>
          <w:rFonts w:ascii="Times New Roman" w:hAnsi="Times New Roman"/>
          <w:sz w:val="24"/>
          <w:szCs w:val="24"/>
        </w:rPr>
      </w:r>
    </w:p>
    <w:p>
      <w:pPr>
        <w:ind w:left="-28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по Калининградской области  на 2025-2028 годы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tabs>
          <w:tab w:val="left" w:pos="2240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both"/>
        <w:spacing w:after="0" w:line="240" w:lineRule="auto"/>
        <w:tabs>
          <w:tab w:val="left" w:pos="224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Руководствуясь  частью 4 статьи 5 Федерального закона от 25 декабря 2008 г. № 273-ФЗ «О противодействии коррупции», Национальной стратегией противодействия коррупции, утвержд</w:t>
      </w:r>
      <w:r>
        <w:rPr>
          <w:rFonts w:ascii="Times New Roman" w:hAnsi="Times New Roman"/>
          <w:sz w:val="28"/>
          <w:szCs w:val="28"/>
        </w:rPr>
        <w:t xml:space="preserve">енной Указом Президента Российской Федерации от 13 апреля 2010 г. № 460, Планом противодействия коррупции в Роспотребнадзоре на 2025-2028 годы, утвержденным приказом Федеральной службы по надзору в сфере защиты прав потребителей и благополучия человека от </w:t>
      </w:r>
      <w:r>
        <w:rPr>
          <w:rFonts w:ascii="Times New Roman" w:hAnsi="Times New Roman"/>
          <w:sz w:val="28"/>
          <w:szCs w:val="28"/>
        </w:rPr>
        <w:t xml:space="preserve">17.06.</w:t>
      </w:r>
      <w:r>
        <w:rPr>
          <w:rFonts w:ascii="Times New Roman" w:hAnsi="Times New Roman"/>
          <w:sz w:val="28"/>
          <w:szCs w:val="28"/>
        </w:rPr>
        <w:t xml:space="preserve">2025  г. № </w:t>
      </w:r>
      <w:r>
        <w:rPr>
          <w:rFonts w:ascii="Times New Roman" w:hAnsi="Times New Roman"/>
          <w:sz w:val="28"/>
          <w:szCs w:val="28"/>
        </w:rPr>
        <w:t xml:space="preserve">471,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224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2240" w:leader="none"/>
        </w:tabs>
        <w:rPr>
          <w:rFonts w:ascii="Times New Roman" w:hAnsi="Times New Roman"/>
          <w:spacing w:val="23"/>
          <w:sz w:val="28"/>
          <w:szCs w:val="28"/>
        </w:rPr>
      </w:pPr>
      <w:r>
        <w:rPr>
          <w:rFonts w:ascii="Times New Roman" w:hAnsi="Times New Roman"/>
          <w:spacing w:val="23"/>
          <w:sz w:val="28"/>
          <w:szCs w:val="28"/>
        </w:rPr>
        <w:t xml:space="preserve">ПРИКАЗЫВАЮ:</w:t>
      </w:r>
      <w:r>
        <w:rPr>
          <w:rFonts w:ascii="Times New Roman" w:hAnsi="Times New Roman"/>
          <w:spacing w:val="23"/>
          <w:sz w:val="28"/>
          <w:szCs w:val="28"/>
        </w:rPr>
      </w:r>
    </w:p>
    <w:p>
      <w:pPr>
        <w:jc w:val="both"/>
        <w:spacing w:after="0" w:line="240" w:lineRule="auto"/>
        <w:tabs>
          <w:tab w:val="left" w:pos="224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tabs>
          <w:tab w:val="left" w:pos="-1985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1. Утвердить План противодействия коррупции в Управлении Роспотребнадзора по Калининградской области на 2025-2028 годы (далее – План) (приложение).</w:t>
      </w:r>
      <w:r>
        <w:rPr>
          <w:rFonts w:ascii="Times New Roman" w:hAnsi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tabs>
          <w:tab w:val="left" w:pos="-1985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2. Начальникам структурных подразделений Управления Роспотребнадзора по Калининградской области (далее – Управление) обеспечить выполнение мероприятий, предусмотренных Планом.</w:t>
      </w:r>
      <w:r>
        <w:rPr>
          <w:rFonts w:ascii="Times New Roman" w:hAnsi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tabs>
          <w:tab w:val="left" w:pos="-1985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3.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Ознакомить начальников структурных подразделений Управления</w:t>
      </w:r>
      <w:r>
        <w:rPr>
          <w:rFonts w:ascii="Times New Roman" w:hAnsi="Times New Roman"/>
          <w:sz w:val="28"/>
          <w:szCs w:val="28"/>
        </w:rPr>
        <w:t xml:space="preserve"> под роспись с настоящим Планом.</w:t>
      </w:r>
      <w:r>
        <w:rPr>
          <w:rFonts w:ascii="Times New Roman" w:hAnsi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tabs>
          <w:tab w:val="left" w:pos="-1985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4.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Контроль за исполнением приказа оставляю за собой.</w:t>
      </w:r>
      <w:r>
        <w:rPr>
          <w:rFonts w:ascii="Times New Roman" w:hAnsi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tabs>
          <w:tab w:val="left" w:pos="-1985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5. Приказ Управления Роспотребнадзора по Калининградской области от </w:t>
      </w:r>
      <w:r>
        <w:rPr>
          <w:rFonts w:ascii="Times New Roman" w:hAnsi="Times New Roman"/>
          <w:sz w:val="28"/>
          <w:szCs w:val="28"/>
        </w:rPr>
        <w:t xml:space="preserve">25.11.2025 № 211 считать утратившим силу.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224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224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224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2240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Руководитель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Е.А. </w:t>
      </w:r>
      <w:r>
        <w:rPr>
          <w:rFonts w:ascii="Times New Roman" w:hAnsi="Times New Roman"/>
          <w:sz w:val="28"/>
          <w:szCs w:val="28"/>
        </w:rPr>
        <w:t xml:space="preserve">Бабура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/>
      <w:bookmarkEnd w:id="0"/>
      <w:r/>
      <w:r>
        <w:rPr>
          <w:rFonts w:ascii="Times New Roman" w:hAnsi="Times New Roman"/>
          <w:sz w:val="20"/>
          <w:szCs w:val="20"/>
        </w:rPr>
      </w:r>
    </w:p>
    <w:p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left="11328" w:firstLine="708"/>
        <w:spacing w:after="0"/>
        <w:rPr>
          <w:rFonts w:ascii="Times New Roman" w:hAnsi="Times New Roman"/>
          <w:sz w:val="20"/>
          <w:szCs w:val="20"/>
        </w:rPr>
        <w:sectPr>
          <w:footnotePr/>
          <w:endnotePr/>
          <w:type w:val="nextPage"/>
          <w:pgSz w:w="11905" w:h="16838" w:orient="portrait"/>
          <w:pgMar w:top="1134" w:right="567" w:bottom="1134" w:left="1134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left="11328" w:firstLine="708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УТВЕРЖДЕН </w:t>
      </w:r>
      <w:r>
        <w:rPr>
          <w:rFonts w:ascii="Times New Roman" w:hAnsi="Times New Roman"/>
          <w:sz w:val="20"/>
          <w:szCs w:val="20"/>
        </w:rPr>
      </w:r>
    </w:p>
    <w:p>
      <w:pPr>
        <w:ind w:left="9912" w:firstLine="708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приказом  Управления Роспотребнадзора </w:t>
      </w:r>
      <w:r>
        <w:rPr>
          <w:rFonts w:ascii="Times New Roman" w:hAnsi="Times New Roman"/>
          <w:sz w:val="20"/>
          <w:szCs w:val="20"/>
        </w:rPr>
      </w:r>
    </w:p>
    <w:p>
      <w:pPr>
        <w:ind w:left="9912" w:firstLine="708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по Калининградской области</w:t>
      </w:r>
      <w:r>
        <w:rPr>
          <w:rFonts w:ascii="Times New Roman" w:hAnsi="Times New Roman"/>
          <w:sz w:val="20"/>
          <w:szCs w:val="20"/>
        </w:rPr>
      </w:r>
    </w:p>
    <w:p>
      <w:pPr>
        <w:ind w:left="10620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от  «</w:t>
      </w:r>
      <w:r>
        <w:rPr>
          <w:rFonts w:ascii="Times New Roman" w:hAnsi="Times New Roman"/>
          <w:sz w:val="20"/>
          <w:szCs w:val="20"/>
        </w:rPr>
        <w:t xml:space="preserve">25</w:t>
      </w:r>
      <w:r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</w:rPr>
        <w:t xml:space="preserve">июня</w:t>
      </w:r>
      <w:r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 xml:space="preserve">6</w:t>
      </w:r>
      <w:r>
        <w:rPr>
          <w:rFonts w:ascii="Times New Roman" w:hAnsi="Times New Roman"/>
          <w:sz w:val="20"/>
          <w:szCs w:val="20"/>
        </w:rPr>
        <w:t xml:space="preserve"> года  № 120</w:t>
      </w:r>
      <w:r>
        <w:rPr>
          <w:rFonts w:ascii="Times New Roman" w:hAnsi="Times New Roman"/>
          <w:sz w:val="20"/>
          <w:szCs w:val="20"/>
        </w:rPr>
      </w:r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противодействия коррупции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Управлении Роспотребнадзора по Калининградской области на 2025 – 2028 годы</w:t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W w:w="15450" w:type="dxa"/>
        <w:tblInd w:w="5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396"/>
        <w:gridCol w:w="6"/>
        <w:gridCol w:w="2970"/>
        <w:gridCol w:w="7"/>
        <w:gridCol w:w="1978"/>
        <w:gridCol w:w="6385"/>
      </w:tblGrid>
      <w:tr>
        <w:tblPrEx/>
        <w:trPr>
          <w:tblHeader/>
        </w:trPr>
        <w:tc>
          <w:tcPr>
            <w:tcW w:w="7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Мероприятия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Ответственные исполнители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Срок исполнения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38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Ожидаемый результат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cantSplit/>
        </w:trPr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6"/>
            <w:tcW w:w="147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Осуществление контроля за соблюдением федеральными государственными гражданскими служащими</w:t>
            </w:r>
            <w:r>
              <w:rPr>
                <w:rStyle w:val="843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Управления Роспотребнадзора по Калининградской области</w:t>
            </w:r>
            <w:r>
              <w:rPr>
                <w:rStyle w:val="843"/>
                <w:rFonts w:ascii="Times New Roman" w:hAnsi="Times New Roman"/>
                <w:b/>
                <w:bCs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ограничений и запретов, требований о предотвращении или урегулировании конфликта интересов, исполнения ими обязанностей, установленных в целях противодействия коррупции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042"/>
        </w:trPr>
        <w:tc>
          <w:tcPr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1.1.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Актуализация локальных нормативных актов Управления Роспотребнадзора по Калининградской области (далее - Управление) в сфере противодействия коррупции с учетом изменений законодательства Российской Федерации 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юридического обеспечения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 государственной службы и кадров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 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г.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Осуществление в Управлении мер по профилактике коррупционных и иных правонарушений 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42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1.2.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Ежеквартальное направление сведений о ходе реализации мероприятий по противодействию коррупции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 государственной службы и кадров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Ежегодно: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до 15 мая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15 августа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15 октября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15 февраля</w:t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Предоставление в Управление кадров, профилактики коррупционных и иных правонарушений и административной работы Роспотребнадзора сведений  о ходе реализации мероприятий по противодействию коррупции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42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1.3.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правоприменительной практики, связанной с реализацией Федерального закона от 3 декабря 2012 г. № 230-ФЗ «О контроле за соответствием расходов лиц, замещающих государственные должности, и иных лиц их доходам»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юридического обеспечения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 государственной службы и кадров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соответствии с поручением Роспотребнадзора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постоянной основе</w:t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Осуществление контроля за соответствием расходов лиц, представивших сведения о доходах, расходах, об имуществе и обязательствах имущественного характера, их доходам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Оказание консультативной помощи  при направлении материалов о несоответствии расходов гражданских служащих Управления их доходах в органы прокуратуры.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42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1.4.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онлайн-опроса граждан по оценке эффективности деятельности подразделений, в компетенцию которых входит профилактика коррупционных правонарушений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 государственной службы и кадров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 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г.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итогового результата, онлайн-опроса в подразделе «Доклады, отчеты, статистическая информация» раздела «Противодействие коррупции» официального сайта Управления.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42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1.5.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сведений по оценке эффективности деятельности подразделений, в компетенцию которых входит профилактика коррупционных правонарушений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 государственной службы и кадров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 до 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декабря</w:t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Направление отчета  о показателях оценки в Управление кадров, профилактики коррупционных и иных правонарушений и административной работы Роспотребнадзора.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42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1.6.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Ежегодное доведение до сведений гражданских служащих Управления информации, касающейся: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-представления сведений о доходах, типовых ошибок, допускаемых при представлении сведений о доходах;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-положений методических рекомендаций по вопросам представления сведений о доходах, использования  </w:t>
            </w:r>
            <w:r>
              <w:rPr>
                <w:rFonts w:ascii="Times New Roman" w:hAnsi="Times New Roman"/>
              </w:rPr>
              <w:t xml:space="preserve">специального программного обеспечения «Справки БК»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 государственной службы и кадров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 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г.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за своевременным исполнением гражданскими служащими обязанностей по представлению сведений о доходах, расходах, об имуществе и обязательствах имущественного характера на себя и членов своих семей.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Снижение уровня коррупционных правонарушений среди гражданских служащих.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42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1.7.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анализа </w:t>
            </w:r>
            <w:r>
              <w:rPr>
                <w:rFonts w:ascii="Times New Roman" w:hAnsi="Times New Roman"/>
              </w:rPr>
              <w:t xml:space="preserve">представляемых гражданскими служащими </w:t>
            </w:r>
            <w:r>
              <w:rPr>
                <w:rFonts w:ascii="Times New Roman" w:hAnsi="Times New Roman"/>
              </w:rPr>
              <w:t xml:space="preserve">сведений о доходах, расходах, об имуществе и обязательствах имущественного характера, </w:t>
            </w:r>
            <w:r>
              <w:rPr>
                <w:rFonts w:ascii="Times New Roman" w:hAnsi="Times New Roman"/>
              </w:rPr>
              <w:t xml:space="preserve">предусмот</w:t>
            </w:r>
            <w:r>
              <w:rPr>
                <w:rFonts w:ascii="Times New Roman" w:hAnsi="Times New Roman"/>
              </w:rPr>
              <w:t xml:space="preserve">ренные Федеральным законом от 25.12.2008 г. №273-ФЗ «О противодействии коррупции» и сведений о расходах, в случаях, предусмотренных Федеральным законом от 03.12.2012 г. №230-ФЗ «О контроле за соответствием расходов лиц, замещающих государственные должности</w:t>
            </w:r>
            <w:r>
              <w:rPr>
                <w:rFonts w:ascii="Times New Roman" w:hAnsi="Times New Roman"/>
              </w:rPr>
              <w:t xml:space="preserve">, и иных лиц их доходам»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 государственной службы и кадров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2025-2028 </w:t>
            </w:r>
            <w:r>
              <w:rPr>
                <w:rFonts w:ascii="Times New Roman" w:hAnsi="Times New Roman"/>
              </w:rPr>
              <w:t xml:space="preserve">г.г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Осуществление контроля за с</w:t>
            </w:r>
            <w:r>
              <w:rPr>
                <w:rFonts w:ascii="Times New Roman" w:hAnsi="Times New Roman"/>
              </w:rPr>
              <w:t xml:space="preserve">облюдением, запретов, ограничений, требований о предотвращении и урегулировании конфликта  интересов и исполнения обязанностей, установленных в целях противодействия коррупции в рамках проведения ретроспективного анализа представленных сведений о расходах.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проверок полноты и </w:t>
            </w:r>
            <w:r>
              <w:rPr>
                <w:rFonts w:ascii="Times New Roman" w:hAnsi="Times New Roman"/>
              </w:rPr>
              <w:t xml:space="preserve">достоверности сведений о доходах, об имуществе и обязательствах имущественного характера, а также проверок соблюдения гражданскими служащими требований к служебному поведению и урегулированию конфликта интересов, контроля за расходами гражданских служащих.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42"/>
        </w:trPr>
        <w:tc>
          <w:tcPr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1.8.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Мониторинг предоставления сведений о доходах, расходах, об имуществе и обязательствах имущественного характера, предоставляемых в соот</w:t>
            </w:r>
            <w:r>
              <w:rPr>
                <w:rFonts w:ascii="Times New Roman" w:hAnsi="Times New Roman"/>
              </w:rPr>
              <w:t xml:space="preserve">ветствии с требованиями статьи 8 Федерального закона от 25.12.2008 г. №273-ФЗ «О противодействии коррупции»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 государственной службы и кадров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 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г. 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г.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Предоставление в Роспотребнадзор результатов мониторинга </w:t>
            </w:r>
            <w:r>
              <w:rPr>
                <w:rFonts w:ascii="Times New Roman" w:hAnsi="Times New Roman"/>
              </w:rPr>
              <w:t xml:space="preserve">предоставления сведений о доходах, расходах, об имуществе и обязательствах имущественного характера, предоставляемых в соответствии с требованиями статьи 8 Федерального закона от 25.12.2008 г. №273-ФЗ «О противодействии коррупции»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42"/>
        </w:trPr>
        <w:tc>
          <w:tcPr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1.9.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представленных федеральными государственными гражданскими служащими</w:t>
            </w:r>
            <w:r>
              <w:rPr>
                <w:rFonts w:ascii="Times New Roman" w:hAnsi="Times New Roman"/>
              </w:rPr>
              <w:t xml:space="preserve"> анкет по форме, установленной Президентом РФ, сообщений об изменении сведений</w:t>
            </w:r>
            <w:r>
              <w:rPr>
                <w:rFonts w:ascii="Times New Roman" w:hAnsi="Times New Roman"/>
              </w:rPr>
              <w:t xml:space="preserve">, содержащихся в анкете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 государственной службы и кадров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систематической основе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декабрь2025 г. – январь 2026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2026 г. – январь 2027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2027 г. – январь 2028 г.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Предупреждение и урегулирование конфликта интересов в целях предотвращения коррупционных правонарушений.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Выявление фактов несоб</w:t>
            </w:r>
            <w:r>
              <w:rPr>
                <w:rFonts w:ascii="Times New Roman" w:hAnsi="Times New Roman"/>
              </w:rPr>
              <w:t xml:space="preserve">людения гражданскими служащими ограничений, запретов, требований </w:t>
            </w:r>
            <w:r>
              <w:rPr>
                <w:rFonts w:ascii="Times New Roman" w:hAnsi="Times New Roman"/>
              </w:rPr>
              <w:t xml:space="preserve">о предотвращении и урегулировании конфликта интересов и неисполнения обязанностей, установленных в целях противодействия коррупции.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Своевременное принятие мер по привлечению к ответственности лиц, допустивших выявленные нарушения установленных требований.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за сообщением об изменении сведений, содержащихся в анкете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42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1.10.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предс</w:t>
            </w:r>
            <w:r>
              <w:rPr>
                <w:rFonts w:ascii="Times New Roman" w:hAnsi="Times New Roman"/>
              </w:rPr>
              <w:t xml:space="preserve">тавления сведений об адресах сайтов и (или) страниц сайтов в информационно-телекоммуникационной сети «Интернет», на которых федеральные государственные гражданские служащие размещали общедоступную информацию, а также данные, позволяющие их идентифицировать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 государственной службы и кадров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Начальники отделов (территориальных отделов)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систематической основе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г.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Исключение нарушений требований к служебному поведению федеральными государственными гражданскими служащими.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соблюдения гражданских служащих Кодекса этики и служебного поведения, утвержденного приказом Роспотребнадзора от 14.07.2011 №665 (изменениями, внесенными приказами Роспотребнадзора от 26.10.2018 № 875, от 01.03.2021  № 54).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cantSplit/>
        </w:trPr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6"/>
            <w:tcW w:w="1474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 деятельности Управления,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мониторинг коррупционных рисков и их минимизация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2.1. 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Ежегодное проведение оценки коррупционных рисков, возникающих при реализации Управлением функций , в том числе при реализации национальных и федеральных </w:t>
            </w:r>
            <w:r>
              <w:rPr>
                <w:rFonts w:ascii="Times New Roman" w:hAnsi="Times New Roman"/>
              </w:rPr>
              <w:t xml:space="preserve">проектов (программ)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 государственной службы и кадров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Начальники отделов </w:t>
            </w:r>
            <w:r>
              <w:rPr>
                <w:rFonts w:ascii="Times New Roman" w:hAnsi="Times New Roman"/>
              </w:rPr>
              <w:t xml:space="preserve">(территориальных отделов)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ноябрь 2025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ноябрь 2026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ноябрь 2027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ноябрь 2028 г.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Корректировка коррупционно - опасных функций, а также предложения по минимизации коррупционных рисков и принятие иных конкретных мер.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Корректировка перечня коррупционно-опасных функций Управления, а также перечня должностей гражданской службы, </w:t>
            </w:r>
            <w:r>
              <w:rPr>
                <w:rFonts w:ascii="Times New Roman" w:hAnsi="Times New Roman"/>
              </w:rPr>
              <w:t xml:space="preserve">замещение которых связано с коррупционными рисками.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Мониторинг и обобщение фактов привлечения гражданских служащих Управления к уголовной ответственности за преступления коррупционной направленности, а также фактов хищения средств, направленных на реализацию национальных и фе</w:t>
            </w:r>
            <w:r>
              <w:rPr>
                <w:rFonts w:ascii="Times New Roman" w:hAnsi="Times New Roman"/>
              </w:rPr>
              <w:t xml:space="preserve">деральных проектов (программ) (в сфере регулирования Роспотребнадзора), с целью выявления и устранения причин и условий, способствующих совершению преступлений, а также проработки вопроса минимизации и (или) ликвидации последствий указанных правонарушений.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Доклад о результатах анализа коррупционных рисков, в том числе связанных с участием гражданских служащих в реализации н</w:t>
            </w:r>
            <w:r>
              <w:rPr>
                <w:rFonts w:ascii="Times New Roman" w:hAnsi="Times New Roman"/>
              </w:rPr>
              <w:t xml:space="preserve">ациональных и федеральных проектов (программ), содержащих количественную и качественную информацию, а также предложения по совершенствованию работы при необходимости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2.2.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оценки коррупционных рисков при осуществлении закупочной деятельности, работа по  минимизации коррупционных рисков и предпосылок возникновения  конфликта интересов при осуществлении закупок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 государственной службы и кадров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социально-гигиенического мониторинга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Члены комиссии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2025-2028 </w:t>
            </w:r>
            <w:r>
              <w:rPr>
                <w:rFonts w:ascii="Times New Roman" w:hAnsi="Times New Roman"/>
              </w:rPr>
              <w:t xml:space="preserve">г.г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постоянной основе</w:t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Мониторинг и обобщение фактов привлечения гражданский служащих Управления к уголовной ответственности за пре</w:t>
            </w:r>
            <w:r>
              <w:rPr>
                <w:rFonts w:ascii="Times New Roman" w:hAnsi="Times New Roman"/>
              </w:rPr>
              <w:t xml:space="preserve">ступления  коррупционной направленности, а также фактов хищения средств с целью выявления и устранения причин и условий, способствующих совершению преступлений, а также проработки вопроса минимизации и (или) ликвидации последствий указанных правонарушений.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анализа (на постоянной основе) о наличии  (отсутствии) конфликта интерес</w:t>
            </w:r>
            <w:r>
              <w:rPr>
                <w:rFonts w:ascii="Times New Roman" w:hAnsi="Times New Roman"/>
              </w:rPr>
              <w:t xml:space="preserve">ов между участниками закупки и членами Единой комиссии по осуществлению закупов товаров, работ, услуг для обеспечения государственных нужд до момента процедуры рассмотрения и оценки заявок на участие в запросе котировок (по специально разработанной форме).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Ежегодный доклад руководителю, в котором содержатся результаты анализа коррупционных рисков, связанных с участием гражданских служащих в осуществлении закупочной деятельности, содержащий количественную и качественную </w:t>
            </w:r>
            <w:r>
              <w:rPr>
                <w:rFonts w:ascii="Times New Roman" w:hAnsi="Times New Roman"/>
              </w:rPr>
              <w:t xml:space="preserve">информацию, а также предложения по совершенствованию работы при необходимости.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Внесение изменений в План (реестр) мер, направленных на минимизацию коррупционных рисков, возникающих при осуществлении закупок товаров, работ, услуг (при необходимости).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cantSplit/>
        </w:trPr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6"/>
            <w:tcW w:w="1474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Профессиональное развитие  гражданских служащих Управления по вопросам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противодействия коррупции и антикоррупционное просвещение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3.1.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396" w:type="dxa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участия гражданских служащих в мероприятиях 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коррупции: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в должностные обязанности которых входит участие в противодействии коррупции;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впервые поступившие на гражданскую службу и замещающих должности, связанные с соблюдением антикоррупционных стандартов;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В должностные обязанности которых входит участие в проведении закупок товаров, работ, услуг для обеспечения государственных нужд 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 государственной службы и кадров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Начальники отделов (территориальных отделов)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1985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систематическом основе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2025-2028 </w:t>
            </w:r>
            <w:r>
              <w:rPr>
                <w:rFonts w:ascii="Times New Roman" w:hAnsi="Times New Roman"/>
              </w:rPr>
              <w:t xml:space="preserve">г.г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обучения гражданских служащих по антикоррупционной тематике: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в должностные обязанности которых входит участие в противодействии коррупции;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гражданских служащих впервые поступивших на гражданскую службу и замещающих должности, связанные с соблюдением антикоррупционных стандартов;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гражданских служащих в должностные обязанности которых входит участие в проведении закупок товаров, работ, услуг для обеспечения государственных нужд.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3.2. 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в разделе, посвященном вопросам </w:t>
            </w:r>
            <w:r>
              <w:rPr>
                <w:rFonts w:ascii="Times New Roman" w:hAnsi="Times New Roman"/>
              </w:rPr>
              <w:t xml:space="preserve">противодействия коррупции, на официальном сайте Управления актуальной информации о мерах по предупреждению коррупции, а также ежемесячная проверка содержания данного подраздела и его актуализация (при необходимости)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 государственной службы и </w:t>
            </w:r>
            <w:r>
              <w:rPr>
                <w:rFonts w:ascii="Times New Roman" w:hAnsi="Times New Roman"/>
              </w:rPr>
              <w:t xml:space="preserve">кадров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систематической </w:t>
            </w:r>
            <w:r>
              <w:rPr>
                <w:rFonts w:ascii="Times New Roman" w:hAnsi="Times New Roman"/>
              </w:rPr>
              <w:t xml:space="preserve">основе, ежемесячно</w:t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Своевременное размещение и ежемесячное наполнение подразделов, посвященных вопросам противодействия </w:t>
            </w:r>
            <w:r>
              <w:rPr>
                <w:rFonts w:ascii="Times New Roman" w:hAnsi="Times New Roman"/>
              </w:rPr>
              <w:t xml:space="preserve">коррупции, ежемесячный анализ размещенной информации на официальном сайте Управления.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контактной информации (формы обратной связи, адреса для направления письменных обращений, и пр.) для направления информации о фактах коррупции или нарушения гражданскими служащими требований к служебному поведению.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информации, поступающей на телефон «горячей линии» («телефона доверия») по вопросам противодействия коррупции, при необходимости проверка поступившей информации и принятие необходимых мер.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3.3.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консультаций для гражданских служащих и работников: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по вопросам обеспечения соблюдения ограничений и запретов, требований о предотвращении или урегулировании конфликта интересов, а также обеспечения исполнения обязанностей, установленных законодательством Российской Федерации о противодействии коррупции;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 порядке представления сведений о доходах, расходах, об имуществе и обязательствах имущественного характера и заполнения соответствующей формы справки;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 о порядке представления сведений о расходах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вводных тренингов с </w:t>
            </w:r>
            <w:r>
              <w:rPr>
                <w:rFonts w:ascii="Times New Roman" w:hAnsi="Times New Roman"/>
              </w:rPr>
              <w:t xml:space="preserve">впервые поступившими на государственную службу и замещающие должности, связанные с соблюдением антикоррупционных стандартов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Информирование под роспись гражданских служащих при их увольнении                               с должностей, включенных в 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перечень должностей, влекущей обязанность пр</w:t>
            </w:r>
            <w:r>
              <w:rPr>
                <w:rFonts w:ascii="Times New Roman" w:hAnsi="Times New Roman"/>
              </w:rPr>
              <w:t xml:space="preserve">едставления сведений о  доходах, расходах, об имуществе и обязательствах имущественного характера о необходимости получения согласия комиссии по соблюдению требований к служебному поведению и урегулированию конфликта интересов на дальнейшее трудоустройство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 государственной службы и кадров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Начальники отделов (территориальных отделов)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2025-2028 </w:t>
            </w:r>
            <w:r>
              <w:rPr>
                <w:rFonts w:ascii="Times New Roman" w:hAnsi="Times New Roman"/>
              </w:rPr>
              <w:t xml:space="preserve">г.г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Ознакомление гражданских служащих и работников с федеральными законами и иными нормативными правовыми актами Российской Федерации (листы ознакомления под роспись).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бесед (консультаций) при приеме граждан на федеральную государственную гражданскую службу.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инструктажей (вводных тренингов) гражданских служащих и работников, впервые поступивших на гражданскую службу (работу) (под роспись), бесед (консультаций). 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на стендах материалов, отражающих актуальные вопросы профилактики коррупции (локальные нормативные акты, работа комиссии, сообщения в средствах массовой информации о фактах коррупционного поведения гражданских служащих, работников и др.).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совещаний, семинаров, круглых столов и иных мероприятий с должностными лицами по вопросам исполнения законодательства о противодействии коррупции. 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 памяток, пособий и иных информационных материалов по вопросам исполнения законодательства о противодействии коррупции.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письменного тестирования гражданских служащих на знание антикоррупционного законодательства.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Своевременная актуализация инструктажей (вводных тренингов) при приеме на гражданскую службу (работу), тестовых заданий.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cantSplit/>
        </w:trPr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6"/>
            <w:tcW w:w="1474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противодействия коррупции с учетом специфики деятельности Управления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4.1. 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Перевод предоставления государственных услуг в электронном виде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руководителя Управления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Начальники отделов (территориальных отделов)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2025-2028 </w:t>
            </w:r>
            <w:r>
              <w:rPr>
                <w:rFonts w:ascii="Times New Roman" w:hAnsi="Times New Roman"/>
              </w:rPr>
              <w:t xml:space="preserve">г.г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(на постоянной основе)</w:t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Исключение личного взаимодействия с гражданами и организациями в рамках предоставления государственных услуг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4.2.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Направление уведомления в Роспотребнадзор о привлечении к ответственности гражданских служащих (работников) за несоблюдение антикоррупционных стандартов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 государственной службы и кадров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юридического </w:t>
            </w:r>
            <w:r>
              <w:rPr>
                <w:rFonts w:ascii="Times New Roman" w:hAnsi="Times New Roman"/>
              </w:rPr>
              <w:t xml:space="preserve">обеспечения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постоянной основе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Незамедлительное  уведомление Роспотребнадзора о фактах начала и окончания п</w:t>
            </w:r>
            <w:r>
              <w:rPr>
                <w:rFonts w:ascii="Times New Roman" w:hAnsi="Times New Roman"/>
              </w:rPr>
              <w:t xml:space="preserve">роверки органами прокуратуры исполнения законодательства в области противодействия коррупции, трудового законодательства и законодательства о государственной гражданской службе, а также направление информации о результатах проведенной работы по устранению </w:t>
            </w:r>
            <w:r>
              <w:rPr>
                <w:rFonts w:ascii="Times New Roman" w:hAnsi="Times New Roman"/>
              </w:rPr>
              <w:t xml:space="preserve">выявленных нарушений и принятых мерах с приложением необходимых документов.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Незамедлительное  уведомление Росп</w:t>
            </w:r>
            <w:r>
              <w:rPr>
                <w:rFonts w:ascii="Times New Roman" w:hAnsi="Times New Roman"/>
              </w:rPr>
              <w:t xml:space="preserve">отребнадзора о фактах возбуждения уголовных дел (в том числе о проведении оперативно-розыскных мероприятий) в отношении гражданских служащих (работников), административных дел в отношении руководителя Управления с последующим информированием о результатах.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Выявление  и устранение причин и условий, способствующих совершению правонарушений, и проработки вопроса минимизации и (или) ликвидации последствий указанных правонарушений, в том числе указанных в представлениях правоохранительных органов.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4.3. 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своевременного учета федерального имущества, включая земельные участки Управления   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государственной службы и кадров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2025-2028 </w:t>
            </w:r>
            <w:r>
              <w:rPr>
                <w:rFonts w:ascii="Times New Roman" w:hAnsi="Times New Roman"/>
              </w:rPr>
              <w:t xml:space="preserve">г.г</w:t>
            </w:r>
            <w:r>
              <w:rPr>
                <w:rFonts w:ascii="Times New Roman" w:hAnsi="Times New Roman"/>
              </w:rPr>
              <w:t xml:space="preserve">. (ежегодно, 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1 марта)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Эффективное использование федерального имущества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Своевременная государственная регистрация федерального имущества 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Своевременное и полное представление сведений по учету федерального имущества, находящегося на праве оперативного управления или на праве хозяйственного ведения в Управлении 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4.4. 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Осуществление 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внутреннего финансового аудита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государственной службы и кадров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г.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г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Соблюдение установленных в соответствии </w:t>
            </w:r>
            <w:r>
              <w:rPr>
                <w:rFonts w:ascii="Times New Roman" w:hAnsi="Times New Roman"/>
              </w:rPr>
              <w:t xml:space="preserve">с бюджетным законодательством Российской Федерации и иными нормативными правовыми актами, регулирующими бюджетные правоотношения, внутренних стандартов и процедур составления и исполнения бюджета, составления бюджетной отчетности и ведения бюджетного учета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Подготовка и организация мер по повышению экономности и результативности использования бюджетных средств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Своевременное принятие мер к должностным лицам по выявленным нарушениям при осуществлении ведомственного финансового контроля 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Направление материалов финансовых проверок о выявленных правонарушениях в правоохранительные органы в соответствии с Указом Президента от 03.03.1998 № 224 «Об обеспечении взаимодействия государственных органов в борьбе с </w:t>
            </w:r>
            <w:r>
              <w:rPr>
                <w:rFonts w:ascii="Times New Roman" w:hAnsi="Times New Roman"/>
              </w:rPr>
              <w:t xml:space="preserve">правонарушениями в сфере экономики»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4.5.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Обеспечить участие должностных лиц, ответственных за работу по профилактике коррупционных и иных правонарушений, в подготовке предложений 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относящимся к его компетенции кадровым вопросам и вопросам награждения гражданских служащих (работников) Управления ведомственными или государственными наградами Российской Федерации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бухгалтерского учета, государственной службы и кадров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9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2025-2028 </w:t>
            </w:r>
            <w:r>
              <w:rPr>
                <w:rFonts w:ascii="Times New Roman" w:hAnsi="Times New Roman"/>
              </w:rPr>
              <w:t xml:space="preserve">г.г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6385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на систематической основе должностных лиц, ответственных за работу по профилактике кор</w:t>
            </w:r>
            <w:r>
              <w:rPr>
                <w:rFonts w:ascii="Times New Roman" w:hAnsi="Times New Roman"/>
              </w:rPr>
              <w:t xml:space="preserve">рупционных и иных правонарушений, в подготовке предложений по относящимся к его компетенции кадровым вопросам и вопросам награждения гражданских служащих (работников) Управления государственными наградами Российской Федерации или ведомственными наградами. 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</w:r>
    </w:p>
    <w:sectPr>
      <w:footnotePr/>
      <w:endnotePr/>
      <w:type w:val="nextPage"/>
      <w:pgSz w:w="16838" w:h="11905" w:orient="landscape"/>
      <w:pgMar w:top="425" w:right="289" w:bottom="567" w:left="289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mbria">
    <w:panose1 w:val="02040503050406030204"/>
  </w:font>
  <w:font w:name="Wingdings">
    <w:panose1 w:val="050000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41"/>
      </w:pPr>
      <w:r>
        <w:rPr>
          <w:rStyle w:val="843"/>
        </w:rPr>
        <w:footnoteRef/>
      </w:r>
      <w:r>
        <w:t xml:space="preserve"> далее-гражданские служащие</w:t>
      </w:r>
      <w:r/>
    </w:p>
  </w:footnote>
  <w:footnote w:id="3">
    <w:p>
      <w:pPr>
        <w:pStyle w:val="841"/>
      </w:pPr>
      <w:r>
        <w:rPr>
          <w:rStyle w:val="843"/>
        </w:rPr>
        <w:footnoteRef/>
      </w:r>
      <w:r>
        <w:t xml:space="preserve"> далее -Управление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">
    <w:name w:val="Heading 3 Char"/>
    <w:basedOn w:val="686"/>
    <w:link w:val="67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3">
    <w:name w:val="Heading 5 Char"/>
    <w:basedOn w:val="686"/>
    <w:link w:val="68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86"/>
    <w:link w:val="68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86"/>
    <w:link w:val="68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86"/>
    <w:link w:val="68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86"/>
    <w:link w:val="68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86"/>
    <w:link w:val="700"/>
    <w:uiPriority w:val="10"/>
    <w:rPr>
      <w:sz w:val="48"/>
      <w:szCs w:val="48"/>
    </w:rPr>
  </w:style>
  <w:style w:type="character" w:styleId="38">
    <w:name w:val="Subtitle Char"/>
    <w:basedOn w:val="686"/>
    <w:link w:val="702"/>
    <w:uiPriority w:val="11"/>
    <w:rPr>
      <w:sz w:val="24"/>
      <w:szCs w:val="24"/>
    </w:rPr>
  </w:style>
  <w:style w:type="character" w:styleId="40">
    <w:name w:val="Quote Char"/>
    <w:link w:val="704"/>
    <w:uiPriority w:val="29"/>
    <w:rPr>
      <w:i/>
    </w:rPr>
  </w:style>
  <w:style w:type="character" w:styleId="42">
    <w:name w:val="Intense Quote Char"/>
    <w:link w:val="706"/>
    <w:uiPriority w:val="30"/>
    <w:rPr>
      <w:i/>
    </w:rPr>
  </w:style>
  <w:style w:type="character" w:styleId="48">
    <w:name w:val="Caption Char"/>
    <w:basedOn w:val="686"/>
    <w:link w:val="712"/>
    <w:uiPriority w:val="35"/>
    <w:rPr>
      <w:b/>
      <w:bCs/>
      <w:color w:val="4f81bd" w:themeColor="accent1"/>
      <w:sz w:val="18"/>
      <w:szCs w:val="18"/>
    </w:rPr>
  </w:style>
  <w:style w:type="character" w:styleId="180">
    <w:name w:val="Endnote Text Char"/>
    <w:link w:val="844"/>
    <w:uiPriority w:val="99"/>
    <w:rPr>
      <w:sz w:val="20"/>
    </w:rPr>
  </w:style>
  <w:style w:type="paragraph" w:styleId="676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677">
    <w:name w:val="Heading 1"/>
    <w:basedOn w:val="676"/>
    <w:next w:val="676"/>
    <w:link w:val="867"/>
    <w:qFormat/>
    <w:pPr>
      <w:jc w:val="center"/>
      <w:keepNext/>
      <w:spacing w:after="0" w:line="240" w:lineRule="auto"/>
      <w:outlineLvl w:val="0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678">
    <w:name w:val="Heading 2"/>
    <w:basedOn w:val="676"/>
    <w:next w:val="676"/>
    <w:link w:val="868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paragraph" w:styleId="679">
    <w:name w:val="Heading 3"/>
    <w:basedOn w:val="676"/>
    <w:next w:val="676"/>
    <w:link w:val="691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80">
    <w:name w:val="Heading 4"/>
    <w:basedOn w:val="676"/>
    <w:next w:val="676"/>
    <w:link w:val="869"/>
    <w:uiPriority w:val="9"/>
    <w:semiHidden/>
    <w:unhideWhenUsed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681">
    <w:name w:val="Heading 5"/>
    <w:basedOn w:val="676"/>
    <w:next w:val="676"/>
    <w:link w:val="693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2">
    <w:name w:val="Heading 6"/>
    <w:basedOn w:val="676"/>
    <w:next w:val="676"/>
    <w:link w:val="694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83">
    <w:name w:val="Heading 7"/>
    <w:basedOn w:val="676"/>
    <w:next w:val="676"/>
    <w:link w:val="695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84">
    <w:name w:val="Heading 8"/>
    <w:basedOn w:val="676"/>
    <w:next w:val="676"/>
    <w:link w:val="696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85">
    <w:name w:val="Heading 9"/>
    <w:basedOn w:val="676"/>
    <w:next w:val="676"/>
    <w:link w:val="697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6" w:default="1">
    <w:name w:val="Default Paragraph Font"/>
    <w:uiPriority w:val="1"/>
    <w:semiHidden/>
    <w:unhideWhenUsed/>
  </w:style>
  <w:style w:type="table" w:styleId="68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8" w:default="1">
    <w:name w:val="No List"/>
    <w:uiPriority w:val="99"/>
    <w:semiHidden/>
    <w:unhideWhenUsed/>
  </w:style>
  <w:style w:type="character" w:styleId="689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690" w:customStyle="1">
    <w:name w:val="Heading 2 Char"/>
    <w:uiPriority w:val="9"/>
    <w:rPr>
      <w:rFonts w:ascii="Arial" w:hAnsi="Arial" w:eastAsia="Arial" w:cs="Arial"/>
      <w:sz w:val="34"/>
    </w:rPr>
  </w:style>
  <w:style w:type="character" w:styleId="691" w:customStyle="1">
    <w:name w:val="Заголовок 3 Знак"/>
    <w:link w:val="679"/>
    <w:uiPriority w:val="9"/>
    <w:rPr>
      <w:rFonts w:ascii="Arial" w:hAnsi="Arial" w:eastAsia="Arial" w:cs="Arial"/>
      <w:sz w:val="30"/>
      <w:szCs w:val="30"/>
    </w:rPr>
  </w:style>
  <w:style w:type="character" w:styleId="692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693" w:customStyle="1">
    <w:name w:val="Заголовок 5 Знак"/>
    <w:link w:val="681"/>
    <w:uiPriority w:val="9"/>
    <w:rPr>
      <w:rFonts w:ascii="Arial" w:hAnsi="Arial" w:eastAsia="Arial" w:cs="Arial"/>
      <w:b/>
      <w:bCs/>
      <w:sz w:val="24"/>
      <w:szCs w:val="24"/>
    </w:rPr>
  </w:style>
  <w:style w:type="character" w:styleId="694" w:customStyle="1">
    <w:name w:val="Заголовок 6 Знак"/>
    <w:link w:val="682"/>
    <w:uiPriority w:val="9"/>
    <w:rPr>
      <w:rFonts w:ascii="Arial" w:hAnsi="Arial" w:eastAsia="Arial" w:cs="Arial"/>
      <w:b/>
      <w:bCs/>
      <w:sz w:val="22"/>
      <w:szCs w:val="22"/>
    </w:rPr>
  </w:style>
  <w:style w:type="character" w:styleId="695" w:customStyle="1">
    <w:name w:val="Заголовок 7 Знак"/>
    <w:link w:val="68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6" w:customStyle="1">
    <w:name w:val="Заголовок 8 Знак"/>
    <w:link w:val="684"/>
    <w:uiPriority w:val="9"/>
    <w:rPr>
      <w:rFonts w:ascii="Arial" w:hAnsi="Arial" w:eastAsia="Arial" w:cs="Arial"/>
      <w:i/>
      <w:iCs/>
      <w:sz w:val="22"/>
      <w:szCs w:val="22"/>
    </w:rPr>
  </w:style>
  <w:style w:type="character" w:styleId="697" w:customStyle="1">
    <w:name w:val="Заголовок 9 Знак"/>
    <w:link w:val="685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676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rPr>
      <w:sz w:val="22"/>
      <w:szCs w:val="22"/>
      <w:lang w:eastAsia="en-US"/>
    </w:rPr>
  </w:style>
  <w:style w:type="paragraph" w:styleId="700">
    <w:name w:val="Title"/>
    <w:basedOn w:val="676"/>
    <w:next w:val="676"/>
    <w:link w:val="701"/>
    <w:uiPriority w:val="10"/>
    <w:qFormat/>
    <w:pPr>
      <w:contextualSpacing/>
      <w:spacing w:before="300"/>
    </w:pPr>
    <w:rPr>
      <w:sz w:val="48"/>
      <w:szCs w:val="48"/>
    </w:rPr>
  </w:style>
  <w:style w:type="character" w:styleId="701" w:customStyle="1">
    <w:name w:val="Название Знак"/>
    <w:link w:val="700"/>
    <w:uiPriority w:val="10"/>
    <w:rPr>
      <w:sz w:val="48"/>
      <w:szCs w:val="48"/>
    </w:rPr>
  </w:style>
  <w:style w:type="paragraph" w:styleId="702">
    <w:name w:val="Subtitle"/>
    <w:basedOn w:val="676"/>
    <w:next w:val="676"/>
    <w:link w:val="703"/>
    <w:uiPriority w:val="11"/>
    <w:qFormat/>
    <w:pPr>
      <w:spacing w:before="200"/>
    </w:pPr>
    <w:rPr>
      <w:sz w:val="24"/>
      <w:szCs w:val="24"/>
    </w:rPr>
  </w:style>
  <w:style w:type="character" w:styleId="703" w:customStyle="1">
    <w:name w:val="Подзаголовок Знак"/>
    <w:link w:val="702"/>
    <w:uiPriority w:val="11"/>
    <w:rPr>
      <w:sz w:val="24"/>
      <w:szCs w:val="24"/>
    </w:rPr>
  </w:style>
  <w:style w:type="paragraph" w:styleId="704">
    <w:name w:val="Quote"/>
    <w:basedOn w:val="676"/>
    <w:next w:val="676"/>
    <w:link w:val="705"/>
    <w:uiPriority w:val="29"/>
    <w:qFormat/>
    <w:pPr>
      <w:ind w:left="720" w:right="720"/>
    </w:pPr>
    <w:rPr>
      <w:i/>
    </w:rPr>
  </w:style>
  <w:style w:type="character" w:styleId="705" w:customStyle="1">
    <w:name w:val="Цитата 2 Знак"/>
    <w:link w:val="704"/>
    <w:uiPriority w:val="29"/>
    <w:rPr>
      <w:i/>
    </w:rPr>
  </w:style>
  <w:style w:type="paragraph" w:styleId="706">
    <w:name w:val="Intense Quote"/>
    <w:basedOn w:val="676"/>
    <w:next w:val="676"/>
    <w:link w:val="70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 w:customStyle="1">
    <w:name w:val="Выделенная цитата Знак"/>
    <w:link w:val="706"/>
    <w:uiPriority w:val="30"/>
    <w:rPr>
      <w:i/>
    </w:rPr>
  </w:style>
  <w:style w:type="paragraph" w:styleId="708">
    <w:name w:val="Header"/>
    <w:basedOn w:val="676"/>
    <w:link w:val="860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9" w:customStyle="1">
    <w:name w:val="Header Char"/>
    <w:uiPriority w:val="99"/>
  </w:style>
  <w:style w:type="paragraph" w:styleId="710">
    <w:name w:val="Footer"/>
    <w:basedOn w:val="676"/>
    <w:link w:val="86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1" w:customStyle="1">
    <w:name w:val="Footer Char"/>
    <w:uiPriority w:val="99"/>
  </w:style>
  <w:style w:type="paragraph" w:styleId="712">
    <w:name w:val="Caption"/>
    <w:basedOn w:val="676"/>
    <w:next w:val="676"/>
    <w:link w:val="713"/>
    <w:uiPriority w:val="35"/>
    <w:semiHidden/>
    <w:unhideWhenUsed/>
    <w:qFormat/>
    <w:rPr>
      <w:b/>
      <w:bCs/>
      <w:color w:val="4f81bd"/>
      <w:sz w:val="18"/>
      <w:szCs w:val="18"/>
    </w:rPr>
  </w:style>
  <w:style w:type="character" w:styleId="713" w:customStyle="1">
    <w:name w:val="Название объекта Знак"/>
    <w:link w:val="712"/>
    <w:uiPriority w:val="35"/>
    <w:rPr>
      <w:b/>
      <w:bCs/>
      <w:color w:val="4f81bd"/>
      <w:sz w:val="18"/>
      <w:szCs w:val="18"/>
    </w:rPr>
  </w:style>
  <w:style w:type="table" w:styleId="714">
    <w:name w:val="Table Grid"/>
    <w:uiPriority w:val="59"/>
    <w:rPr>
      <w:lang w:eastAsia="zh-C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 w:customStyle="1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 w:customStyle="1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 w:customStyle="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19" w:customStyle="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20" w:customStyle="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21" w:customStyle="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2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3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4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5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6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7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8" w:customStyle="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9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0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1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2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3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4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6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7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0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1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6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7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40">
    <w:name w:val="Hyperlink"/>
    <w:uiPriority w:val="99"/>
    <w:unhideWhenUsed/>
    <w:rPr>
      <w:color w:val="0000ff"/>
      <w:u w:val="single"/>
    </w:rPr>
  </w:style>
  <w:style w:type="paragraph" w:styleId="841">
    <w:name w:val="footnote text"/>
    <w:basedOn w:val="676"/>
    <w:link w:val="864"/>
    <w:pPr>
      <w:spacing w:after="0" w:line="24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842" w:customStyle="1">
    <w:name w:val="Footnote Text Char"/>
    <w:uiPriority w:val="99"/>
    <w:rPr>
      <w:sz w:val="18"/>
    </w:rPr>
  </w:style>
  <w:style w:type="character" w:styleId="843">
    <w:name w:val="footnote reference"/>
    <w:rPr>
      <w:vertAlign w:val="superscript"/>
    </w:rPr>
  </w:style>
  <w:style w:type="paragraph" w:styleId="844">
    <w:name w:val="endnote text"/>
    <w:basedOn w:val="676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 w:customStyle="1">
    <w:name w:val="Текст концевой сноски Знак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676"/>
    <w:next w:val="676"/>
    <w:uiPriority w:val="39"/>
    <w:unhideWhenUsed/>
    <w:pPr>
      <w:spacing w:after="57"/>
    </w:pPr>
  </w:style>
  <w:style w:type="paragraph" w:styleId="848">
    <w:name w:val="toc 2"/>
    <w:basedOn w:val="676"/>
    <w:next w:val="676"/>
    <w:uiPriority w:val="39"/>
    <w:unhideWhenUsed/>
    <w:pPr>
      <w:ind w:left="283"/>
      <w:spacing w:after="57"/>
    </w:pPr>
  </w:style>
  <w:style w:type="paragraph" w:styleId="849">
    <w:name w:val="toc 3"/>
    <w:basedOn w:val="676"/>
    <w:next w:val="676"/>
    <w:uiPriority w:val="39"/>
    <w:unhideWhenUsed/>
    <w:pPr>
      <w:ind w:left="567"/>
      <w:spacing w:after="57"/>
    </w:pPr>
  </w:style>
  <w:style w:type="paragraph" w:styleId="850">
    <w:name w:val="toc 4"/>
    <w:basedOn w:val="676"/>
    <w:next w:val="676"/>
    <w:uiPriority w:val="39"/>
    <w:unhideWhenUsed/>
    <w:pPr>
      <w:ind w:left="850"/>
      <w:spacing w:after="57"/>
    </w:pPr>
  </w:style>
  <w:style w:type="paragraph" w:styleId="851">
    <w:name w:val="toc 5"/>
    <w:basedOn w:val="676"/>
    <w:next w:val="676"/>
    <w:uiPriority w:val="39"/>
    <w:unhideWhenUsed/>
    <w:pPr>
      <w:ind w:left="1134"/>
      <w:spacing w:after="57"/>
    </w:pPr>
  </w:style>
  <w:style w:type="paragraph" w:styleId="852">
    <w:name w:val="toc 6"/>
    <w:basedOn w:val="676"/>
    <w:next w:val="676"/>
    <w:uiPriority w:val="39"/>
    <w:unhideWhenUsed/>
    <w:pPr>
      <w:ind w:left="1417"/>
      <w:spacing w:after="57"/>
    </w:pPr>
  </w:style>
  <w:style w:type="paragraph" w:styleId="853">
    <w:name w:val="toc 7"/>
    <w:basedOn w:val="676"/>
    <w:next w:val="676"/>
    <w:uiPriority w:val="39"/>
    <w:unhideWhenUsed/>
    <w:pPr>
      <w:ind w:left="1701"/>
      <w:spacing w:after="57"/>
    </w:pPr>
  </w:style>
  <w:style w:type="paragraph" w:styleId="854">
    <w:name w:val="toc 8"/>
    <w:basedOn w:val="676"/>
    <w:next w:val="676"/>
    <w:uiPriority w:val="39"/>
    <w:unhideWhenUsed/>
    <w:pPr>
      <w:ind w:left="1984"/>
      <w:spacing w:after="57"/>
    </w:pPr>
  </w:style>
  <w:style w:type="paragraph" w:styleId="855">
    <w:name w:val="toc 9"/>
    <w:basedOn w:val="676"/>
    <w:next w:val="676"/>
    <w:uiPriority w:val="39"/>
    <w:unhideWhenUsed/>
    <w:pPr>
      <w:ind w:left="2268"/>
      <w:spacing w:after="57"/>
    </w:pPr>
  </w:style>
  <w:style w:type="paragraph" w:styleId="856">
    <w:name w:val="TOC Heading"/>
    <w:uiPriority w:val="39"/>
    <w:unhideWhenUsed/>
    <w:rPr>
      <w:lang w:eastAsia="zh-CN"/>
    </w:rPr>
  </w:style>
  <w:style w:type="paragraph" w:styleId="857">
    <w:name w:val="table of figures"/>
    <w:basedOn w:val="676"/>
    <w:next w:val="676"/>
    <w:uiPriority w:val="99"/>
    <w:unhideWhenUsed/>
    <w:pPr>
      <w:spacing w:after="0"/>
    </w:pPr>
  </w:style>
  <w:style w:type="paragraph" w:styleId="858">
    <w:name w:val="Balloon Text"/>
    <w:basedOn w:val="676"/>
    <w:link w:val="85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9" w:customStyle="1">
    <w:name w:val="Текст выноски Знак"/>
    <w:link w:val="858"/>
    <w:uiPriority w:val="99"/>
    <w:semiHidden/>
    <w:rPr>
      <w:rFonts w:ascii="Tahoma" w:hAnsi="Tahoma" w:cs="Tahoma"/>
      <w:sz w:val="16"/>
      <w:szCs w:val="16"/>
    </w:rPr>
  </w:style>
  <w:style w:type="character" w:styleId="860" w:customStyle="1">
    <w:name w:val="Верхний колонтитул Знак"/>
    <w:basedOn w:val="686"/>
    <w:link w:val="708"/>
    <w:uiPriority w:val="99"/>
    <w:semiHidden/>
  </w:style>
  <w:style w:type="character" w:styleId="861" w:customStyle="1">
    <w:name w:val="Нижний колонтитул Знак"/>
    <w:basedOn w:val="686"/>
    <w:link w:val="710"/>
    <w:uiPriority w:val="99"/>
  </w:style>
  <w:style w:type="paragraph" w:styleId="862" w:customStyle="1">
    <w:name w:val="ConsPlusNormal"/>
    <w:rPr>
      <w:rFonts w:cs="Calibri"/>
      <w:sz w:val="22"/>
      <w:szCs w:val="22"/>
      <w:lang w:eastAsia="en-US"/>
    </w:rPr>
  </w:style>
  <w:style w:type="paragraph" w:styleId="863" w:customStyle="1">
    <w:name w:val="ConsPlusCell"/>
    <w:pPr>
      <w:widowControl w:val="off"/>
    </w:pPr>
    <w:rPr>
      <w:rFonts w:ascii="Arial" w:hAnsi="Arial" w:eastAsia="Times New Roman" w:cs="Arial"/>
    </w:rPr>
  </w:style>
  <w:style w:type="character" w:styleId="864" w:customStyle="1">
    <w:name w:val="Текст сноски Знак"/>
    <w:link w:val="841"/>
    <w:rPr>
      <w:rFonts w:ascii="Times New Roman" w:hAnsi="Times New Roman" w:eastAsia="Times New Roman"/>
    </w:rPr>
  </w:style>
  <w:style w:type="paragraph" w:styleId="865">
    <w:name w:val="Body Text 2"/>
    <w:basedOn w:val="676"/>
    <w:link w:val="866"/>
    <w:pPr>
      <w:jc w:val="center"/>
      <w:spacing w:after="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66" w:customStyle="1">
    <w:name w:val="Основной текст 2 Знак"/>
    <w:link w:val="865"/>
    <w:rPr>
      <w:rFonts w:ascii="Times New Roman" w:hAnsi="Times New Roman" w:eastAsia="Times New Roman"/>
      <w:sz w:val="24"/>
      <w:szCs w:val="24"/>
    </w:rPr>
  </w:style>
  <w:style w:type="character" w:styleId="867" w:customStyle="1">
    <w:name w:val="Заголовок 1 Знак"/>
    <w:link w:val="677"/>
    <w:rPr>
      <w:rFonts w:ascii="Times New Roman" w:hAnsi="Times New Roman" w:eastAsia="Times New Roman"/>
      <w:b/>
      <w:bCs/>
      <w:sz w:val="24"/>
      <w:szCs w:val="24"/>
    </w:rPr>
  </w:style>
  <w:style w:type="character" w:styleId="868" w:customStyle="1">
    <w:name w:val="Заголовок 2 Знак"/>
    <w:link w:val="678"/>
    <w:uiPriority w:val="9"/>
    <w:semiHidden/>
    <w:rPr>
      <w:rFonts w:ascii="Cambria" w:hAnsi="Cambria" w:eastAsia="Times New Roman" w:cs="Times New Roman"/>
      <w:b/>
      <w:bCs/>
      <w:i/>
      <w:iCs/>
      <w:sz w:val="28"/>
      <w:szCs w:val="28"/>
      <w:lang w:eastAsia="en-US"/>
    </w:rPr>
  </w:style>
  <w:style w:type="character" w:styleId="869" w:customStyle="1">
    <w:name w:val="Заголовок 4 Знак"/>
    <w:link w:val="680"/>
    <w:uiPriority w:val="9"/>
    <w:semiHidden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870">
    <w:name w:val="Body Text"/>
    <w:basedOn w:val="676"/>
    <w:link w:val="871"/>
    <w:uiPriority w:val="99"/>
    <w:unhideWhenUsed/>
    <w:pPr>
      <w:spacing w:after="120"/>
    </w:pPr>
  </w:style>
  <w:style w:type="character" w:styleId="871" w:customStyle="1">
    <w:name w:val="Основной текст Знак"/>
    <w:link w:val="870"/>
    <w:uiPriority w:val="99"/>
    <w:rPr>
      <w:sz w:val="22"/>
      <w:szCs w:val="22"/>
      <w:lang w:eastAsia="en-US"/>
    </w:rPr>
  </w:style>
  <w:style w:type="character" w:styleId="872" w:customStyle="1">
    <w:name w:val="Основной текст (2) + 11 pt"/>
    <w:rPr>
      <w:rFonts w:ascii="Times New Roman" w:hAnsi="Times New Roman" w:eastAsia="Times New Roman" w:cs="Times New Roman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styleId="873" w:customStyle="1">
    <w:name w:val="Основной текст (2)_"/>
    <w:link w:val="874"/>
    <w:rPr>
      <w:sz w:val="28"/>
      <w:szCs w:val="28"/>
      <w:shd w:val="clear" w:color="auto" w:fill="ffffff"/>
    </w:rPr>
  </w:style>
  <w:style w:type="paragraph" w:styleId="874" w:customStyle="1">
    <w:name w:val="Основной текст (2)"/>
    <w:basedOn w:val="676"/>
    <w:link w:val="873"/>
    <w:pPr>
      <w:jc w:val="center"/>
      <w:spacing w:before="120" w:after="240" w:line="0" w:lineRule="atLeast"/>
      <w:shd w:val="clear" w:color="auto" w:fill="ffffff"/>
      <w:widowControl w:val="off"/>
    </w:pPr>
    <w:rPr>
      <w:sz w:val="28"/>
      <w:szCs w:val="28"/>
      <w:lang w:eastAsia="ru-RU"/>
    </w:rPr>
  </w:style>
  <w:style w:type="paragraph" w:styleId="875">
    <w:name w:val="Body Text Indent"/>
    <w:basedOn w:val="676"/>
    <w:link w:val="876"/>
    <w:pPr>
      <w:ind w:firstLine="540"/>
      <w:jc w:val="both"/>
      <w:spacing w:after="0" w:line="240" w:lineRule="auto"/>
    </w:pPr>
    <w:rPr>
      <w:rFonts w:ascii="Times New Roman" w:hAnsi="Times New Roman" w:eastAsia="Times New Roman"/>
      <w:sz w:val="28"/>
      <w:szCs w:val="24"/>
      <w:lang w:eastAsia="ru-RU"/>
    </w:rPr>
  </w:style>
  <w:style w:type="character" w:styleId="876" w:customStyle="1">
    <w:name w:val="Основной текст с отступом Знак"/>
    <w:link w:val="875"/>
    <w:rPr>
      <w:rFonts w:ascii="Times New Roman" w:hAnsi="Times New Roman" w:eastAsia="Times New Roman"/>
      <w:sz w:val="28"/>
      <w:szCs w:val="24"/>
    </w:rPr>
  </w:style>
  <w:style w:type="paragraph" w:styleId="877" w:customStyle="1">
    <w:name w:val="ConsPlusTitle"/>
    <w:pPr>
      <w:widowControl w:val="off"/>
    </w:pPr>
    <w:rPr>
      <w:rFonts w:ascii="Times New Roman" w:hAnsi="Times New Roman" w:eastAsia="Times New Roman"/>
      <w:b/>
      <w:bCs/>
      <w:sz w:val="28"/>
      <w:szCs w:val="28"/>
    </w:rPr>
  </w:style>
  <w:style w:type="character" w:styleId="878">
    <w:name w:val="page number"/>
    <w:basedOn w:val="686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Ларькова</dc:creator>
  <cp:lastModifiedBy>ZAMRUK2</cp:lastModifiedBy>
  <cp:revision>6</cp:revision>
  <dcterms:created xsi:type="dcterms:W3CDTF">2026-06-22T14:55:00Z</dcterms:created>
  <dcterms:modified xsi:type="dcterms:W3CDTF">2026-06-26T14:30:44Z</dcterms:modified>
  <cp:version>786432</cp:version>
</cp:coreProperties>
</file>